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92" w:rsidRDefault="00367592" w:rsidP="00367592">
      <w:pPr>
        <w:pStyle w:val="BodyText"/>
        <w:spacing w:line="242" w:lineRule="auto"/>
        <w:ind w:left="123" w:right="152" w:hanging="10"/>
        <w:jc w:val="center"/>
      </w:pPr>
      <w:r>
        <w:t>Table R406.4 (N1106.4)</w:t>
      </w:r>
    </w:p>
    <w:p w:rsidR="00367592" w:rsidRDefault="00367592" w:rsidP="00367592">
      <w:pPr>
        <w:pStyle w:val="BodyText"/>
        <w:spacing w:line="242" w:lineRule="auto"/>
        <w:ind w:left="123" w:right="152" w:hanging="10"/>
        <w:jc w:val="center"/>
      </w:pPr>
      <w:r>
        <w:t>MAXIMUM ENERGY RATING INDEX</w:t>
      </w:r>
    </w:p>
    <w:tbl>
      <w:tblPr>
        <w:tblStyle w:val="TableGrid"/>
        <w:tblW w:w="0" w:type="auto"/>
        <w:tblInd w:w="1188" w:type="dxa"/>
        <w:tblLook w:val="04A0"/>
      </w:tblPr>
      <w:tblGrid>
        <w:gridCol w:w="1357"/>
        <w:gridCol w:w="1703"/>
        <w:gridCol w:w="1620"/>
        <w:gridCol w:w="1620"/>
      </w:tblGrid>
      <w:tr w:rsidR="00367592" w:rsidTr="005B03FB">
        <w:tc>
          <w:tcPr>
            <w:tcW w:w="1357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Climate Zone</w:t>
            </w:r>
          </w:p>
        </w:tc>
        <w:tc>
          <w:tcPr>
            <w:tcW w:w="1703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Sept 1, 2016-2019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 xml:space="preserve">Sept. 1, 2019-2022 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Sept. 1, 2022-2025</w:t>
            </w:r>
          </w:p>
        </w:tc>
      </w:tr>
      <w:tr w:rsidR="00367592" w:rsidTr="005B03FB">
        <w:tc>
          <w:tcPr>
            <w:tcW w:w="1357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2</w:t>
            </w:r>
          </w:p>
        </w:tc>
        <w:tc>
          <w:tcPr>
            <w:tcW w:w="1703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65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63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59</w:t>
            </w:r>
          </w:p>
        </w:tc>
      </w:tr>
      <w:tr w:rsidR="00367592" w:rsidTr="005B03FB">
        <w:tc>
          <w:tcPr>
            <w:tcW w:w="1357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3</w:t>
            </w:r>
          </w:p>
        </w:tc>
        <w:tc>
          <w:tcPr>
            <w:tcW w:w="1703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65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63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59</w:t>
            </w:r>
          </w:p>
        </w:tc>
      </w:tr>
      <w:tr w:rsidR="00367592" w:rsidTr="005B03FB">
        <w:tc>
          <w:tcPr>
            <w:tcW w:w="1357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4</w:t>
            </w:r>
          </w:p>
        </w:tc>
        <w:tc>
          <w:tcPr>
            <w:tcW w:w="1703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69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67</w:t>
            </w:r>
          </w:p>
        </w:tc>
        <w:tc>
          <w:tcPr>
            <w:tcW w:w="1620" w:type="dxa"/>
          </w:tcPr>
          <w:p w:rsidR="00367592" w:rsidRDefault="00367592" w:rsidP="005B03FB">
            <w:pPr>
              <w:pStyle w:val="BodyText"/>
              <w:spacing w:line="242" w:lineRule="auto"/>
              <w:ind w:left="0" w:right="152" w:firstLine="0"/>
            </w:pPr>
            <w:r>
              <w:t>63</w:t>
            </w:r>
          </w:p>
        </w:tc>
      </w:tr>
    </w:tbl>
    <w:p w:rsidR="00367592" w:rsidRPr="007A441C" w:rsidRDefault="00367592" w:rsidP="00367592">
      <w:pPr>
        <w:pStyle w:val="BodyText"/>
        <w:spacing w:line="242" w:lineRule="auto"/>
        <w:ind w:left="123" w:right="152" w:hanging="10"/>
        <w:rPr>
          <w:color w:val="FF0000"/>
        </w:rPr>
      </w:pPr>
    </w:p>
    <w:p w:rsidR="00367592" w:rsidRDefault="00367592" w:rsidP="00367592">
      <w:pPr>
        <w:pStyle w:val="BodyText"/>
        <w:spacing w:line="242" w:lineRule="auto"/>
        <w:ind w:left="123" w:right="152" w:hanging="10"/>
        <w:jc w:val="both"/>
        <w:rPr>
          <w:color w:val="FF0000"/>
        </w:rPr>
      </w:pPr>
      <w:r>
        <w:rPr>
          <w:color w:val="FF0000"/>
        </w:rPr>
        <w:t xml:space="preserve"> The revised </w:t>
      </w:r>
      <w:r w:rsidRPr="007A441C">
        <w:rPr>
          <w:color w:val="FF0000"/>
        </w:rPr>
        <w:t>Table R406.4 represents the maximum ERI scores adopted by the Texas Legislature in HB 1736. The legislation allows these scores to be amended. SPEER has developed an ERI guidance document</w:t>
      </w:r>
      <w:r>
        <w:rPr>
          <w:color w:val="FF0000"/>
        </w:rPr>
        <w:t xml:space="preserve"> (link)</w:t>
      </w:r>
      <w:r w:rsidRPr="007A441C">
        <w:rPr>
          <w:color w:val="FF0000"/>
        </w:rPr>
        <w:t xml:space="preserve"> that will he</w:t>
      </w:r>
      <w:r>
        <w:rPr>
          <w:color w:val="FF0000"/>
        </w:rPr>
        <w:t>lp to relate these scores</w:t>
      </w:r>
      <w:r w:rsidRPr="007A441C">
        <w:rPr>
          <w:color w:val="FF0000"/>
        </w:rPr>
        <w:t xml:space="preserve"> </w:t>
      </w:r>
      <w:r>
        <w:rPr>
          <w:color w:val="FF0000"/>
        </w:rPr>
        <w:t xml:space="preserve">to </w:t>
      </w:r>
      <w:r w:rsidRPr="007A441C">
        <w:rPr>
          <w:color w:val="FF0000"/>
        </w:rPr>
        <w:t>homes</w:t>
      </w:r>
      <w:r>
        <w:rPr>
          <w:color w:val="FF0000"/>
        </w:rPr>
        <w:t xml:space="preserve"> of various sizes</w:t>
      </w:r>
      <w:r w:rsidRPr="007A441C">
        <w:rPr>
          <w:color w:val="FF0000"/>
        </w:rPr>
        <w:t xml:space="preserve"> being built in different cities</w:t>
      </w:r>
      <w:r>
        <w:rPr>
          <w:color w:val="FF0000"/>
        </w:rPr>
        <w:t xml:space="preserve"> and climate zones</w:t>
      </w:r>
      <w:r w:rsidRPr="007A441C">
        <w:rPr>
          <w:color w:val="FF0000"/>
        </w:rPr>
        <w:t xml:space="preserve"> in Texas. We recommend that this document be reviewed to determine if these scores are in alignment with the </w:t>
      </w:r>
      <w:r>
        <w:rPr>
          <w:color w:val="FF0000"/>
        </w:rPr>
        <w:t xml:space="preserve">homes being built in your area and with your city's policies regarding energy efficiency. </w:t>
      </w:r>
    </w:p>
    <w:p w:rsidR="00367592" w:rsidRPr="007A441C" w:rsidRDefault="00367592" w:rsidP="00367592">
      <w:pPr>
        <w:pStyle w:val="BodyText"/>
        <w:spacing w:line="242" w:lineRule="auto"/>
        <w:ind w:left="123" w:right="152" w:hanging="10"/>
        <w:jc w:val="both"/>
        <w:rPr>
          <w:color w:val="FF0000"/>
        </w:rPr>
      </w:pPr>
      <w:r>
        <w:rPr>
          <w:color w:val="FF0000"/>
        </w:rPr>
        <w:t xml:space="preserve">SPEER recommends that each jurisdiction adopt an amendment stating the Maximum Energy Rating Index to avoid confusion between the published IECC/IRC, the TX State amendments to Table R406.4 and any local amendment to the ERI scores. 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67592"/>
    <w:rsid w:val="0026378B"/>
    <w:rsid w:val="003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59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592"/>
    <w:pPr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67592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36759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2016-02-02T22:29:00Z</dcterms:created>
  <dcterms:modified xsi:type="dcterms:W3CDTF">2016-02-02T22:30:00Z</dcterms:modified>
</cp:coreProperties>
</file>